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44A" w:rsidRPr="00A05C37" w:rsidRDefault="00F3418A" w:rsidP="00A05C37">
      <w:pPr>
        <w:jc w:val="center"/>
        <w:rPr>
          <w:b/>
          <w:sz w:val="28"/>
          <w:szCs w:val="28"/>
        </w:rPr>
      </w:pPr>
      <w:r w:rsidRPr="00A05C37">
        <w:rPr>
          <w:b/>
          <w:sz w:val="28"/>
          <w:szCs w:val="28"/>
        </w:rPr>
        <w:t>Stakeholder Engagement Models / Tools for Discussion:</w:t>
      </w:r>
    </w:p>
    <w:p w:rsidR="00F3418A" w:rsidRDefault="00F3418A"/>
    <w:p w:rsidR="00F3418A" w:rsidRPr="00A05C37" w:rsidRDefault="00F3418A">
      <w:pPr>
        <w:rPr>
          <w:b/>
          <w:u w:val="single"/>
        </w:rPr>
      </w:pPr>
      <w:r w:rsidRPr="00A05C37">
        <w:rPr>
          <w:b/>
          <w:u w:val="single"/>
        </w:rPr>
        <w:t>Levels of Engagement:</w:t>
      </w:r>
      <w:r w:rsidR="00A05C37">
        <w:rPr>
          <w:b/>
          <w:u w:val="single"/>
        </w:rPr>
        <w:t xml:space="preserve">  Current and Future</w:t>
      </w:r>
    </w:p>
    <w:p w:rsidR="00A05C37" w:rsidRPr="00A05C37" w:rsidRDefault="00121353">
      <w:pPr>
        <w:rPr>
          <w:b/>
        </w:rPr>
      </w:pPr>
      <w:r w:rsidRPr="00A05C37">
        <w:rPr>
          <w:b/>
        </w:rPr>
        <w:t xml:space="preserve">Model 1:  </w:t>
      </w:r>
      <w:proofErr w:type="spellStart"/>
      <w:r w:rsidR="00F3418A" w:rsidRPr="00A05C37">
        <w:rPr>
          <w:b/>
        </w:rPr>
        <w:t>Arnstein’</w:t>
      </w:r>
      <w:r w:rsidRPr="00A05C37">
        <w:rPr>
          <w:b/>
        </w:rPr>
        <w:t>s</w:t>
      </w:r>
      <w:proofErr w:type="spellEnd"/>
      <w:r w:rsidRPr="00A05C37">
        <w:rPr>
          <w:b/>
        </w:rPr>
        <w:t xml:space="preserve"> Ladder of Engagement – </w:t>
      </w:r>
      <w:r w:rsidR="0098006B">
        <w:rPr>
          <w:b/>
        </w:rPr>
        <w:t xml:space="preserve"> </w:t>
      </w:r>
    </w:p>
    <w:p w:rsidR="00F3418A" w:rsidRPr="00661E28" w:rsidRDefault="00A05C37">
      <w:pPr>
        <w:rPr>
          <w:i/>
          <w:color w:val="0070C0"/>
        </w:rPr>
      </w:pPr>
      <w:r>
        <w:rPr>
          <w:i/>
          <w:color w:val="0070C0"/>
        </w:rPr>
        <w:t xml:space="preserve">Questions to consider:  Related to the Index project: </w:t>
      </w:r>
      <w:r w:rsidR="00661E28">
        <w:rPr>
          <w:i/>
          <w:color w:val="0070C0"/>
        </w:rPr>
        <w:t>At present, w</w:t>
      </w:r>
      <w:r w:rsidR="00121353" w:rsidRPr="00661E28">
        <w:rPr>
          <w:i/>
          <w:color w:val="0070C0"/>
        </w:rPr>
        <w:t>here do you see yourself</w:t>
      </w:r>
      <w:r>
        <w:rPr>
          <w:i/>
          <w:color w:val="0070C0"/>
        </w:rPr>
        <w:t xml:space="preserve"> and your constituency group</w:t>
      </w:r>
      <w:r w:rsidR="00661E28">
        <w:rPr>
          <w:i/>
          <w:color w:val="0070C0"/>
        </w:rPr>
        <w:t xml:space="preserve"> on this ladder</w:t>
      </w:r>
      <w:r w:rsidR="00121353" w:rsidRPr="00661E28">
        <w:rPr>
          <w:i/>
          <w:color w:val="0070C0"/>
        </w:rPr>
        <w:t xml:space="preserve">?  </w:t>
      </w:r>
      <w:r w:rsidR="00661E28">
        <w:rPr>
          <w:i/>
          <w:color w:val="0070C0"/>
        </w:rPr>
        <w:t>Ideally, w</w:t>
      </w:r>
      <w:r w:rsidR="00121353" w:rsidRPr="00661E28">
        <w:rPr>
          <w:i/>
          <w:color w:val="0070C0"/>
        </w:rPr>
        <w:t xml:space="preserve">here </w:t>
      </w:r>
      <w:r w:rsidR="00661E28">
        <w:rPr>
          <w:i/>
          <w:color w:val="0070C0"/>
        </w:rPr>
        <w:t xml:space="preserve">do you </w:t>
      </w:r>
      <w:r w:rsidR="00121353" w:rsidRPr="00661E28">
        <w:rPr>
          <w:i/>
          <w:color w:val="0070C0"/>
        </w:rPr>
        <w:t xml:space="preserve">think it appropriate for </w:t>
      </w:r>
      <w:r w:rsidR="00BF5A7A" w:rsidRPr="00661E28">
        <w:rPr>
          <w:i/>
          <w:color w:val="0070C0"/>
        </w:rPr>
        <w:t xml:space="preserve">you and for your constituency </w:t>
      </w:r>
      <w:r w:rsidR="00121353" w:rsidRPr="00661E28">
        <w:rPr>
          <w:i/>
          <w:color w:val="0070C0"/>
        </w:rPr>
        <w:t>to be?</w:t>
      </w:r>
      <w:r w:rsidR="0098006B">
        <w:rPr>
          <w:i/>
          <w:color w:val="0070C0"/>
        </w:rPr>
        <w:t xml:space="preserve">  What strategies or activities in 2016 would help accomplish this?</w:t>
      </w:r>
    </w:p>
    <w:p w:rsidR="00F3418A" w:rsidRDefault="0098006B">
      <w:r w:rsidRPr="0098006B">
        <w:rPr>
          <w:b/>
          <w:noProof/>
        </w:rPr>
        <mc:AlternateContent>
          <mc:Choice Requires="wps">
            <w:drawing>
              <wp:anchor distT="45720" distB="45720" distL="114300" distR="114300" simplePos="0" relativeHeight="251662336" behindDoc="0" locked="0" layoutInCell="1" allowOverlap="1" wp14:anchorId="7A267F79" wp14:editId="31F54B01">
                <wp:simplePos x="0" y="0"/>
                <wp:positionH relativeFrom="column">
                  <wp:posOffset>3388348</wp:posOffset>
                </wp:positionH>
                <wp:positionV relativeFrom="paragraph">
                  <wp:posOffset>2498281</wp:posOffset>
                </wp:positionV>
                <wp:extent cx="2360930" cy="1404620"/>
                <wp:effectExtent l="0" t="0" r="0" b="0"/>
                <wp:wrapThrough wrapText="bothSides">
                  <wp:wrapPolygon edited="0">
                    <wp:start x="0" y="0"/>
                    <wp:lineTo x="0" y="20986"/>
                    <wp:lineTo x="21375" y="20986"/>
                    <wp:lineTo x="21375"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8006B" w:rsidRPr="009138E9" w:rsidRDefault="0098006B">
                            <w:pPr>
                              <w:rPr>
                                <w:i/>
                                <w:sz w:val="18"/>
                                <w:szCs w:val="18"/>
                              </w:rPr>
                            </w:pPr>
                            <w:r w:rsidRPr="009138E9">
                              <w:rPr>
                                <w:i/>
                                <w:sz w:val="18"/>
                                <w:szCs w:val="18"/>
                              </w:rPr>
                              <w:t xml:space="preserve">Reference:  </w:t>
                            </w:r>
                            <w:proofErr w:type="spellStart"/>
                            <w:r w:rsidR="009138E9" w:rsidRPr="009138E9">
                              <w:rPr>
                                <w:i/>
                                <w:sz w:val="18"/>
                                <w:szCs w:val="18"/>
                              </w:rPr>
                              <w:t>Arnstein</w:t>
                            </w:r>
                            <w:proofErr w:type="spellEnd"/>
                            <w:r w:rsidR="009138E9" w:rsidRPr="009138E9">
                              <w:rPr>
                                <w:i/>
                                <w:sz w:val="18"/>
                                <w:szCs w:val="18"/>
                              </w:rPr>
                              <w:t xml:space="preserve">, Sherry R. "A Ladder of Citizen Participation," JAIP, Vol. 35, No. 4, July 1969, pp. 216-224. </w:t>
                            </w:r>
                            <w:hyperlink r:id="rId5" w:history="1">
                              <w:r w:rsidRPr="009138E9">
                                <w:rPr>
                                  <w:rStyle w:val="Hyperlink"/>
                                  <w:i/>
                                  <w:sz w:val="18"/>
                                  <w:szCs w:val="18"/>
                                </w:rPr>
                                <w:t>http://lithgow-schmidt.dk/sherry-arnstein/ladder-of-citizen-participation.html</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267F79" id="_x0000_t202" coordsize="21600,21600" o:spt="202" path="m,l,21600r21600,l21600,xe">
                <v:stroke joinstyle="miter"/>
                <v:path gradientshapeok="t" o:connecttype="rect"/>
              </v:shapetype>
              <v:shape id="Text Box 2" o:spid="_x0000_s1026" type="#_x0000_t202" style="position:absolute;margin-left:266.8pt;margin-top:196.7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ukHwIAABw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" stroked="f">
                <v:textbox style="mso-fit-shape-to-text:t">
                  <w:txbxContent>
                    <w:p w:rsidR="0098006B" w:rsidRPr="009138E9" w:rsidRDefault="0098006B">
                      <w:pPr>
                        <w:rPr>
                          <w:i/>
                          <w:sz w:val="18"/>
                          <w:szCs w:val="18"/>
                        </w:rPr>
                      </w:pPr>
                      <w:r w:rsidRPr="009138E9">
                        <w:rPr>
                          <w:i/>
                          <w:sz w:val="18"/>
                          <w:szCs w:val="18"/>
                        </w:rPr>
                        <w:t xml:space="preserve">Reference:  </w:t>
                      </w:r>
                      <w:proofErr w:type="spellStart"/>
                      <w:r w:rsidR="009138E9" w:rsidRPr="009138E9">
                        <w:rPr>
                          <w:i/>
                          <w:sz w:val="18"/>
                          <w:szCs w:val="18"/>
                        </w:rPr>
                        <w:t>Arnstein</w:t>
                      </w:r>
                      <w:proofErr w:type="spellEnd"/>
                      <w:r w:rsidR="009138E9" w:rsidRPr="009138E9">
                        <w:rPr>
                          <w:i/>
                          <w:sz w:val="18"/>
                          <w:szCs w:val="18"/>
                        </w:rPr>
                        <w:t xml:space="preserve">, Sherry R. "A Ladder of Citizen Participation," JAIP, Vol. 35, No. 4, July 1969, pp. 216-224. </w:t>
                      </w:r>
                      <w:hyperlink r:id="rId6" w:history="1">
                        <w:r w:rsidRPr="009138E9">
                          <w:rPr>
                            <w:rStyle w:val="Hyperlink"/>
                            <w:i/>
                            <w:sz w:val="18"/>
                            <w:szCs w:val="18"/>
                          </w:rPr>
                          <w:t>http://lithgow-schmidt.dk/sherry-arnstein/ladder-of-citizen-participation.html</w:t>
                        </w:r>
                      </w:hyperlink>
                    </w:p>
                  </w:txbxContent>
                </v:textbox>
                <w10:wrap type="through"/>
              </v:shape>
            </w:pict>
          </mc:Fallback>
        </mc:AlternateContent>
      </w:r>
      <w:r w:rsidR="00121353">
        <w:rPr>
          <w:noProof/>
        </w:rPr>
        <w:drawing>
          <wp:inline distT="0" distB="0" distL="0" distR="0" wp14:anchorId="10961517" wp14:editId="68B3CC73">
            <wp:extent cx="2980828" cy="3657600"/>
            <wp:effectExtent l="0" t="0" r="0" b="0"/>
            <wp:docPr id="5" name="Picture 5" descr="Eight rungs on the ladder of citizen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ght rungs on the ladder of citizen particip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5691" cy="3688108"/>
                    </a:xfrm>
                    <a:prstGeom prst="rect">
                      <a:avLst/>
                    </a:prstGeom>
                    <a:noFill/>
                    <a:ln>
                      <a:noFill/>
                    </a:ln>
                  </pic:spPr>
                </pic:pic>
              </a:graphicData>
            </a:graphic>
          </wp:inline>
        </w:drawing>
      </w:r>
      <w:bookmarkStart w:id="0" w:name="_GoBack"/>
      <w:bookmarkEnd w:id="0"/>
    </w:p>
    <w:p w:rsidR="00BF5A7A" w:rsidRDefault="00A05C37" w:rsidP="00BF5A7A">
      <w:pPr>
        <w:pStyle w:val="NormalWeb"/>
        <w:shd w:val="clear" w:color="auto" w:fill="FFFFFF"/>
        <w:rPr>
          <w:color w:val="000000"/>
          <w:sz w:val="22"/>
          <w:szCs w:val="22"/>
        </w:rPr>
      </w:pPr>
      <w:r>
        <w:rPr>
          <w:color w:val="000000"/>
          <w:sz w:val="22"/>
          <w:szCs w:val="22"/>
        </w:rPr>
        <w:t>Bottom</w:t>
      </w:r>
      <w:r w:rsidR="00BF5A7A">
        <w:rPr>
          <w:color w:val="000000"/>
          <w:sz w:val="22"/>
          <w:szCs w:val="22"/>
        </w:rPr>
        <w:t xml:space="preserve">:  </w:t>
      </w:r>
      <w:r w:rsidR="00BF5A7A" w:rsidRPr="00BF5A7A">
        <w:rPr>
          <w:b/>
          <w:color w:val="000000"/>
          <w:sz w:val="22"/>
          <w:szCs w:val="22"/>
        </w:rPr>
        <w:t>Manipulation</w:t>
      </w:r>
      <w:r w:rsidR="00BF5A7A" w:rsidRPr="00121353">
        <w:rPr>
          <w:color w:val="000000"/>
          <w:sz w:val="22"/>
          <w:szCs w:val="22"/>
        </w:rPr>
        <w:t xml:space="preserve"> </w:t>
      </w:r>
      <w:r w:rsidR="00BF5A7A">
        <w:rPr>
          <w:color w:val="000000"/>
          <w:sz w:val="22"/>
          <w:szCs w:val="22"/>
        </w:rPr>
        <w:t xml:space="preserve">(1) and </w:t>
      </w:r>
      <w:r w:rsidR="00BF5A7A" w:rsidRPr="00BF5A7A">
        <w:rPr>
          <w:b/>
          <w:color w:val="000000"/>
          <w:sz w:val="22"/>
          <w:szCs w:val="22"/>
        </w:rPr>
        <w:t>Therapy</w:t>
      </w:r>
      <w:r w:rsidR="00BF5A7A">
        <w:rPr>
          <w:color w:val="000000"/>
          <w:sz w:val="22"/>
          <w:szCs w:val="22"/>
        </w:rPr>
        <w:t xml:space="preserve"> (2)</w:t>
      </w:r>
      <w:r w:rsidR="00BF5A7A" w:rsidRPr="00121353">
        <w:rPr>
          <w:color w:val="000000"/>
          <w:sz w:val="22"/>
          <w:szCs w:val="22"/>
        </w:rPr>
        <w:t>. These two rungs describe levels of "non-participation" that have been contrived by some to substitute for genuine participation. Their real objective is not to enable people to participate in planning or condu</w:t>
      </w:r>
      <w:r w:rsidR="00BF5A7A">
        <w:rPr>
          <w:color w:val="000000"/>
          <w:sz w:val="22"/>
          <w:szCs w:val="22"/>
        </w:rPr>
        <w:t>cting programs, but to enable those in charge</w:t>
      </w:r>
      <w:r w:rsidR="009138E9">
        <w:rPr>
          <w:color w:val="000000"/>
          <w:sz w:val="22"/>
          <w:szCs w:val="22"/>
        </w:rPr>
        <w:t xml:space="preserve"> to "educate" or "cure</w:t>
      </w:r>
      <w:r w:rsidR="00BF5A7A" w:rsidRPr="00121353">
        <w:rPr>
          <w:color w:val="000000"/>
          <w:sz w:val="22"/>
          <w:szCs w:val="22"/>
        </w:rPr>
        <w:t xml:space="preserve">" the participants. </w:t>
      </w:r>
    </w:p>
    <w:p w:rsidR="00BF5A7A" w:rsidRPr="00121353" w:rsidRDefault="00BF5A7A" w:rsidP="00BF5A7A">
      <w:pPr>
        <w:pStyle w:val="NormalWeb"/>
        <w:shd w:val="clear" w:color="auto" w:fill="FFFFFF"/>
        <w:rPr>
          <w:color w:val="000000"/>
          <w:sz w:val="22"/>
          <w:szCs w:val="22"/>
        </w:rPr>
      </w:pPr>
      <w:r>
        <w:rPr>
          <w:color w:val="000000"/>
          <w:sz w:val="22"/>
          <w:szCs w:val="22"/>
        </w:rPr>
        <w:t xml:space="preserve">Middle Rungs: </w:t>
      </w:r>
      <w:r w:rsidRPr="00BF5A7A">
        <w:rPr>
          <w:b/>
          <w:color w:val="000000"/>
          <w:sz w:val="22"/>
          <w:szCs w:val="22"/>
        </w:rPr>
        <w:t>Informing</w:t>
      </w:r>
      <w:r w:rsidRPr="00121353">
        <w:rPr>
          <w:color w:val="000000"/>
          <w:sz w:val="22"/>
          <w:szCs w:val="22"/>
        </w:rPr>
        <w:t xml:space="preserve"> (3)</w:t>
      </w:r>
      <w:r>
        <w:rPr>
          <w:color w:val="000000"/>
          <w:sz w:val="22"/>
          <w:szCs w:val="22"/>
        </w:rPr>
        <w:t xml:space="preserve"> </w:t>
      </w:r>
      <w:r w:rsidRPr="00121353">
        <w:rPr>
          <w:color w:val="000000"/>
          <w:sz w:val="22"/>
          <w:szCs w:val="22"/>
        </w:rPr>
        <w:t xml:space="preserve">and </w:t>
      </w:r>
      <w:r w:rsidRPr="00BF5A7A">
        <w:rPr>
          <w:b/>
          <w:color w:val="000000"/>
          <w:sz w:val="22"/>
          <w:szCs w:val="22"/>
        </w:rPr>
        <w:t>Consultation</w:t>
      </w:r>
      <w:r>
        <w:rPr>
          <w:color w:val="000000"/>
          <w:sz w:val="22"/>
          <w:szCs w:val="22"/>
        </w:rPr>
        <w:t xml:space="preserve"> </w:t>
      </w:r>
      <w:r w:rsidRPr="00121353">
        <w:rPr>
          <w:color w:val="000000"/>
          <w:sz w:val="22"/>
          <w:szCs w:val="22"/>
        </w:rPr>
        <w:t xml:space="preserve">(4). </w:t>
      </w:r>
      <w:r>
        <w:rPr>
          <w:color w:val="000000"/>
          <w:sz w:val="22"/>
          <w:szCs w:val="22"/>
        </w:rPr>
        <w:t xml:space="preserve"> </w:t>
      </w:r>
      <w:r w:rsidRPr="00121353">
        <w:rPr>
          <w:color w:val="000000"/>
          <w:sz w:val="22"/>
          <w:szCs w:val="22"/>
        </w:rPr>
        <w:t xml:space="preserve"> </w:t>
      </w:r>
      <w:r>
        <w:rPr>
          <w:color w:val="000000"/>
          <w:sz w:val="22"/>
          <w:szCs w:val="22"/>
        </w:rPr>
        <w:t>These p</w:t>
      </w:r>
      <w:r w:rsidRPr="00121353">
        <w:rPr>
          <w:color w:val="000000"/>
          <w:sz w:val="22"/>
          <w:szCs w:val="22"/>
        </w:rPr>
        <w:t>rogress to levels of "to</w:t>
      </w:r>
      <w:r>
        <w:rPr>
          <w:color w:val="000000"/>
          <w:sz w:val="22"/>
          <w:szCs w:val="22"/>
        </w:rPr>
        <w:t>kenism" that allow stakeholders</w:t>
      </w:r>
      <w:r w:rsidRPr="00121353">
        <w:rPr>
          <w:color w:val="000000"/>
          <w:sz w:val="22"/>
          <w:szCs w:val="22"/>
        </w:rPr>
        <w:t xml:space="preserve"> to hear and to have a voice: When th</w:t>
      </w:r>
      <w:r>
        <w:rPr>
          <w:color w:val="000000"/>
          <w:sz w:val="22"/>
          <w:szCs w:val="22"/>
        </w:rPr>
        <w:t>ey are proffered by management</w:t>
      </w:r>
      <w:r w:rsidR="009138E9">
        <w:rPr>
          <w:color w:val="000000"/>
          <w:sz w:val="22"/>
          <w:szCs w:val="22"/>
        </w:rPr>
        <w:t>/those in power</w:t>
      </w:r>
      <w:r w:rsidRPr="00121353">
        <w:rPr>
          <w:color w:val="000000"/>
          <w:sz w:val="22"/>
          <w:szCs w:val="22"/>
        </w:rPr>
        <w:t xml:space="preserve"> as the total extent of participation, </w:t>
      </w:r>
      <w:r>
        <w:rPr>
          <w:color w:val="000000"/>
          <w:sz w:val="22"/>
          <w:szCs w:val="22"/>
        </w:rPr>
        <w:t xml:space="preserve">stakeholders </w:t>
      </w:r>
      <w:r w:rsidRPr="00121353">
        <w:rPr>
          <w:color w:val="000000"/>
          <w:sz w:val="22"/>
          <w:szCs w:val="22"/>
        </w:rPr>
        <w:t>may indeed hear and be heard. But under these conditions they lack the power to insure that their view</w:t>
      </w:r>
      <w:r>
        <w:rPr>
          <w:color w:val="000000"/>
          <w:sz w:val="22"/>
          <w:szCs w:val="22"/>
        </w:rPr>
        <w:t>s will be heeded</w:t>
      </w:r>
      <w:r w:rsidRPr="00121353">
        <w:rPr>
          <w:color w:val="000000"/>
          <w:sz w:val="22"/>
          <w:szCs w:val="22"/>
        </w:rPr>
        <w:t>. When participation is restricted to these levels, there is no follow-through, no "muscle," hence no assurance of changing the status quo</w:t>
      </w:r>
      <w:r>
        <w:rPr>
          <w:color w:val="000000"/>
          <w:sz w:val="22"/>
          <w:szCs w:val="22"/>
        </w:rPr>
        <w:t xml:space="preserve"> or influencing the outcome</w:t>
      </w:r>
      <w:r w:rsidRPr="00121353">
        <w:rPr>
          <w:color w:val="000000"/>
          <w:sz w:val="22"/>
          <w:szCs w:val="22"/>
        </w:rPr>
        <w:t>.</w:t>
      </w:r>
      <w:r>
        <w:rPr>
          <w:color w:val="000000"/>
          <w:sz w:val="22"/>
          <w:szCs w:val="22"/>
        </w:rPr>
        <w:t xml:space="preserve">  </w:t>
      </w:r>
      <w:r w:rsidRPr="00BF5A7A">
        <w:rPr>
          <w:b/>
          <w:color w:val="000000"/>
          <w:sz w:val="22"/>
          <w:szCs w:val="22"/>
        </w:rPr>
        <w:t>Placation</w:t>
      </w:r>
      <w:r w:rsidRPr="00121353">
        <w:rPr>
          <w:color w:val="000000"/>
          <w:sz w:val="22"/>
          <w:szCs w:val="22"/>
        </w:rPr>
        <w:t xml:space="preserve"> (5) is simply a higher level tokenism because t</w:t>
      </w:r>
      <w:r>
        <w:rPr>
          <w:color w:val="000000"/>
          <w:sz w:val="22"/>
          <w:szCs w:val="22"/>
        </w:rPr>
        <w:t xml:space="preserve">he ground rules allow stakeholders </w:t>
      </w:r>
      <w:r w:rsidRPr="00121353">
        <w:rPr>
          <w:color w:val="000000"/>
          <w:sz w:val="22"/>
          <w:szCs w:val="22"/>
        </w:rPr>
        <w:t xml:space="preserve">to </w:t>
      </w:r>
      <w:proofErr w:type="gramStart"/>
      <w:r w:rsidRPr="00121353">
        <w:rPr>
          <w:color w:val="000000"/>
          <w:sz w:val="22"/>
          <w:szCs w:val="22"/>
        </w:rPr>
        <w:t>advise</w:t>
      </w:r>
      <w:proofErr w:type="gramEnd"/>
      <w:r w:rsidRPr="00121353">
        <w:rPr>
          <w:color w:val="000000"/>
          <w:sz w:val="22"/>
          <w:szCs w:val="22"/>
        </w:rPr>
        <w:t>,</w:t>
      </w:r>
      <w:r>
        <w:rPr>
          <w:color w:val="000000"/>
          <w:sz w:val="22"/>
          <w:szCs w:val="22"/>
        </w:rPr>
        <w:t xml:space="preserve"> but retain for the power-holders</w:t>
      </w:r>
      <w:r w:rsidRPr="00121353">
        <w:rPr>
          <w:color w:val="000000"/>
          <w:sz w:val="22"/>
          <w:szCs w:val="22"/>
        </w:rPr>
        <w:t xml:space="preserve"> the continued right to decide.</w:t>
      </w:r>
    </w:p>
    <w:p w:rsidR="00BF5A7A" w:rsidRPr="00BF5A7A" w:rsidRDefault="00BF5A7A" w:rsidP="00BF5A7A">
      <w:pPr>
        <w:pStyle w:val="NormalWeb"/>
        <w:shd w:val="clear" w:color="auto" w:fill="FFFFFF"/>
        <w:rPr>
          <w:color w:val="000000"/>
          <w:sz w:val="22"/>
          <w:szCs w:val="22"/>
        </w:rPr>
      </w:pPr>
      <w:r w:rsidRPr="00121353">
        <w:rPr>
          <w:color w:val="000000"/>
          <w:sz w:val="22"/>
          <w:szCs w:val="22"/>
        </w:rPr>
        <w:t xml:space="preserve">Further up the ladder are </w:t>
      </w:r>
      <w:r>
        <w:rPr>
          <w:color w:val="000000"/>
          <w:sz w:val="22"/>
          <w:szCs w:val="22"/>
        </w:rPr>
        <w:t>more active levels of stakeholder participation</w:t>
      </w:r>
      <w:r w:rsidRPr="00121353">
        <w:rPr>
          <w:color w:val="000000"/>
          <w:sz w:val="22"/>
          <w:szCs w:val="22"/>
        </w:rPr>
        <w:t xml:space="preserve"> with increasing degrees of</w:t>
      </w:r>
      <w:r>
        <w:rPr>
          <w:color w:val="000000"/>
          <w:sz w:val="22"/>
          <w:szCs w:val="22"/>
        </w:rPr>
        <w:t xml:space="preserve"> decision-making clout. Stakeholders</w:t>
      </w:r>
      <w:r w:rsidRPr="00121353">
        <w:rPr>
          <w:color w:val="000000"/>
          <w:sz w:val="22"/>
          <w:szCs w:val="22"/>
        </w:rPr>
        <w:t xml:space="preserve"> can ent</w:t>
      </w:r>
      <w:r>
        <w:rPr>
          <w:color w:val="000000"/>
          <w:sz w:val="22"/>
          <w:szCs w:val="22"/>
        </w:rPr>
        <w:t>er into a</w:t>
      </w:r>
      <w:r w:rsidRPr="00121353">
        <w:rPr>
          <w:color w:val="000000"/>
          <w:sz w:val="22"/>
          <w:szCs w:val="22"/>
        </w:rPr>
        <w:t xml:space="preserve"> </w:t>
      </w:r>
      <w:r w:rsidRPr="00BF5A7A">
        <w:rPr>
          <w:b/>
          <w:color w:val="000000"/>
          <w:sz w:val="22"/>
          <w:szCs w:val="22"/>
        </w:rPr>
        <w:t>Partnership</w:t>
      </w:r>
      <w:r>
        <w:rPr>
          <w:color w:val="000000"/>
          <w:sz w:val="22"/>
          <w:szCs w:val="22"/>
        </w:rPr>
        <w:t xml:space="preserve"> (6)</w:t>
      </w:r>
      <w:r w:rsidRPr="00121353">
        <w:rPr>
          <w:color w:val="000000"/>
          <w:sz w:val="22"/>
          <w:szCs w:val="22"/>
        </w:rPr>
        <w:t xml:space="preserve"> that enables them to negotiate and engage</w:t>
      </w:r>
      <w:r>
        <w:rPr>
          <w:color w:val="000000"/>
          <w:sz w:val="22"/>
          <w:szCs w:val="22"/>
        </w:rPr>
        <w:t xml:space="preserve"> in </w:t>
      </w:r>
      <w:r>
        <w:rPr>
          <w:color w:val="000000"/>
          <w:sz w:val="22"/>
          <w:szCs w:val="22"/>
        </w:rPr>
        <w:t xml:space="preserve">working through </w:t>
      </w:r>
      <w:r>
        <w:rPr>
          <w:color w:val="000000"/>
          <w:sz w:val="22"/>
          <w:szCs w:val="22"/>
        </w:rPr>
        <w:t>trade-offs with those in charge</w:t>
      </w:r>
      <w:r w:rsidRPr="00121353">
        <w:rPr>
          <w:color w:val="000000"/>
          <w:sz w:val="22"/>
          <w:szCs w:val="22"/>
        </w:rPr>
        <w:t xml:space="preserve">. At the topmost rungs, </w:t>
      </w:r>
      <w:r w:rsidRPr="00BF5A7A">
        <w:rPr>
          <w:b/>
          <w:color w:val="000000"/>
          <w:sz w:val="22"/>
          <w:szCs w:val="22"/>
        </w:rPr>
        <w:t>Delegated Power</w:t>
      </w:r>
      <w:r>
        <w:rPr>
          <w:color w:val="000000"/>
          <w:sz w:val="22"/>
          <w:szCs w:val="22"/>
        </w:rPr>
        <w:t xml:space="preserve"> (7)</w:t>
      </w:r>
      <w:r>
        <w:rPr>
          <w:color w:val="000000"/>
          <w:sz w:val="27"/>
          <w:szCs w:val="27"/>
        </w:rPr>
        <w:t xml:space="preserve"> </w:t>
      </w:r>
      <w:r w:rsidRPr="00121353">
        <w:rPr>
          <w:color w:val="000000"/>
          <w:sz w:val="22"/>
          <w:szCs w:val="22"/>
        </w:rPr>
        <w:t xml:space="preserve">and </w:t>
      </w:r>
      <w:r w:rsidRPr="00BF5A7A">
        <w:rPr>
          <w:b/>
          <w:color w:val="000000"/>
          <w:sz w:val="22"/>
          <w:szCs w:val="22"/>
        </w:rPr>
        <w:t>Citizen Control</w:t>
      </w:r>
      <w:r>
        <w:rPr>
          <w:color w:val="000000"/>
          <w:sz w:val="22"/>
          <w:szCs w:val="22"/>
        </w:rPr>
        <w:t xml:space="preserve"> </w:t>
      </w:r>
      <w:r w:rsidRPr="00121353">
        <w:rPr>
          <w:color w:val="000000"/>
          <w:sz w:val="22"/>
          <w:szCs w:val="22"/>
        </w:rPr>
        <w:t>(8)</w:t>
      </w:r>
      <w:r>
        <w:rPr>
          <w:color w:val="000000"/>
          <w:sz w:val="22"/>
          <w:szCs w:val="22"/>
        </w:rPr>
        <w:t>, stakeholders</w:t>
      </w:r>
      <w:r w:rsidRPr="00121353">
        <w:rPr>
          <w:color w:val="000000"/>
          <w:sz w:val="22"/>
          <w:szCs w:val="22"/>
        </w:rPr>
        <w:t xml:space="preserve"> obtain the majority of decision-making seats, or full managerial power.</w:t>
      </w:r>
    </w:p>
    <w:p w:rsidR="00F3418A" w:rsidRPr="00A05C37" w:rsidRDefault="00967244">
      <w:pPr>
        <w:rPr>
          <w:b/>
        </w:rPr>
      </w:pPr>
      <w:r w:rsidRPr="00A05C37">
        <w:rPr>
          <w:b/>
        </w:rPr>
        <w:lastRenderedPageBreak/>
        <w:t>L</w:t>
      </w:r>
      <w:r w:rsidR="00F3418A" w:rsidRPr="00A05C37">
        <w:rPr>
          <w:b/>
        </w:rPr>
        <w:t>evels of Engagement:</w:t>
      </w:r>
      <w:r w:rsidR="00B65734" w:rsidRPr="00A05C37">
        <w:rPr>
          <w:b/>
        </w:rPr>
        <w:t xml:space="preserve">  Model 2:  IFC Stakeholder Engagement Handbook</w:t>
      </w:r>
    </w:p>
    <w:p w:rsidR="00A05C37" w:rsidRPr="00661E28" w:rsidRDefault="00B923D6" w:rsidP="00A05C37">
      <w:pPr>
        <w:rPr>
          <w:i/>
          <w:color w:val="0070C0"/>
        </w:rPr>
      </w:pPr>
      <w:r>
        <w:rPr>
          <w:i/>
          <w:color w:val="0070C0"/>
        </w:rPr>
        <w:t>Some may relate to this model more.  If so</w:t>
      </w:r>
      <w:r w:rsidR="00A05C37">
        <w:rPr>
          <w:i/>
          <w:color w:val="0070C0"/>
        </w:rPr>
        <w:t>:  At present, w</w:t>
      </w:r>
      <w:r w:rsidR="00A05C37" w:rsidRPr="00661E28">
        <w:rPr>
          <w:i/>
          <w:color w:val="0070C0"/>
        </w:rPr>
        <w:t>here do you see yourself</w:t>
      </w:r>
      <w:r w:rsidR="00A05C37">
        <w:rPr>
          <w:i/>
          <w:color w:val="0070C0"/>
        </w:rPr>
        <w:t xml:space="preserve"> and your constituency group</w:t>
      </w:r>
      <w:r w:rsidR="00A05C37">
        <w:rPr>
          <w:i/>
          <w:color w:val="0070C0"/>
        </w:rPr>
        <w:t xml:space="preserve"> on this spectrum</w:t>
      </w:r>
      <w:r w:rsidR="00A05C37" w:rsidRPr="00661E28">
        <w:rPr>
          <w:i/>
          <w:color w:val="0070C0"/>
        </w:rPr>
        <w:t xml:space="preserve">?  </w:t>
      </w:r>
      <w:r w:rsidR="00A05C37">
        <w:rPr>
          <w:i/>
          <w:color w:val="0070C0"/>
        </w:rPr>
        <w:t>Ideally, w</w:t>
      </w:r>
      <w:r w:rsidR="00A05C37" w:rsidRPr="00661E28">
        <w:rPr>
          <w:i/>
          <w:color w:val="0070C0"/>
        </w:rPr>
        <w:t xml:space="preserve">here </w:t>
      </w:r>
      <w:r w:rsidR="00A05C37">
        <w:rPr>
          <w:i/>
          <w:color w:val="0070C0"/>
        </w:rPr>
        <w:t xml:space="preserve">do you </w:t>
      </w:r>
      <w:r w:rsidR="00A05C37" w:rsidRPr="00661E28">
        <w:rPr>
          <w:i/>
          <w:color w:val="0070C0"/>
        </w:rPr>
        <w:t>think it appropriate for you and for your constituency to be?</w:t>
      </w:r>
      <w:r w:rsidR="0098006B">
        <w:rPr>
          <w:i/>
          <w:color w:val="0070C0"/>
        </w:rPr>
        <w:t xml:space="preserve"> What strategies or activities would help accomplish this in 2016?</w:t>
      </w:r>
    </w:p>
    <w:p w:rsidR="00863085" w:rsidRDefault="002410B4">
      <w:r w:rsidRPr="002410B4">
        <w:rPr>
          <w:noProof/>
          <w:sz w:val="18"/>
          <w:szCs w:val="18"/>
        </w:rPr>
        <mc:AlternateContent>
          <mc:Choice Requires="wps">
            <w:drawing>
              <wp:anchor distT="45720" distB="45720" distL="114300" distR="114300" simplePos="0" relativeHeight="251659264" behindDoc="1" locked="0" layoutInCell="1" allowOverlap="1" wp14:anchorId="1A887533" wp14:editId="0004D3C3">
                <wp:simplePos x="0" y="0"/>
                <wp:positionH relativeFrom="column">
                  <wp:posOffset>4895850</wp:posOffset>
                </wp:positionH>
                <wp:positionV relativeFrom="paragraph">
                  <wp:posOffset>283210</wp:posOffset>
                </wp:positionV>
                <wp:extent cx="1885950" cy="1404620"/>
                <wp:effectExtent l="0" t="0" r="19050" b="27940"/>
                <wp:wrapThrough wrapText="bothSides">
                  <wp:wrapPolygon edited="0">
                    <wp:start x="0" y="0"/>
                    <wp:lineTo x="0" y="21703"/>
                    <wp:lineTo x="21600" y="21703"/>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solidFill>
                            <a:srgbClr val="000000"/>
                          </a:solidFill>
                          <a:miter lim="800000"/>
                          <a:headEnd/>
                          <a:tailEnd/>
                        </a:ln>
                      </wps:spPr>
                      <wps:txbx>
                        <w:txbxContent>
                          <w:sdt>
                            <w:sdtPr>
                              <w:id w:val="568603642"/>
                              <w:temporary/>
                              <w15:appearance w15:val="hidden"/>
                            </w:sdtPr>
                            <w:sdtContent>
                              <w:p w:rsidR="002410B4" w:rsidRDefault="002410B4">
                                <w:r w:rsidRPr="00863085">
                                  <w:rPr>
                                    <w:sz w:val="18"/>
                                    <w:szCs w:val="18"/>
                                  </w:rPr>
                                  <w:t xml:space="preserve">Source:  Reference:  International Finance Corporation.  World Bank Group.  Stakeholder Engagement: A Good Practice Handbook for Companies Doing Business in Emerging Markets.  Washington, DC.2007. URL: </w:t>
                                </w:r>
                                <w:hyperlink r:id="rId8" w:history="1">
                                  <w:r w:rsidRPr="00863085">
                                    <w:rPr>
                                      <w:rStyle w:val="Hyperlink"/>
                                      <w:sz w:val="18"/>
                                      <w:szCs w:val="18"/>
                                    </w:rPr>
                                    <w:t>http://www.ifc.org/wps/wcm/connect/938f1a0048855805beacfe6a6515bb18/IFC_StakeholderEngagement.pdf?MOD=AJPERES</w:t>
                                  </w:r>
                                </w:hyperlink>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87533" id="_x0000_s1027" type="#_x0000_t202" style="position:absolute;margin-left:385.5pt;margin-top:22.3pt;width:148.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">
                <v:textbox style="mso-fit-shape-to-text:t">
                  <w:txbxContent>
                    <w:sdt>
                      <w:sdtPr>
                        <w:id w:val="568603642"/>
                        <w:temporary/>
                        <w15:appearance w15:val="hidden"/>
                      </w:sdtPr>
                      <w:sdtContent>
                        <w:p w:rsidR="002410B4" w:rsidRDefault="002410B4">
                          <w:r w:rsidRPr="00863085">
                            <w:rPr>
                              <w:sz w:val="18"/>
                              <w:szCs w:val="18"/>
                            </w:rPr>
                            <w:t xml:space="preserve">Source:  Reference:  International Finance Corporation.  World Bank Group.  Stakeholder Engagement: A Good Practice Handbook for Companies Doing Business in Emerging Markets.  Washington, DC.2007. URL: </w:t>
                          </w:r>
                          <w:hyperlink r:id="rId9" w:history="1">
                            <w:r w:rsidRPr="00863085">
                              <w:rPr>
                                <w:rStyle w:val="Hyperlink"/>
                                <w:sz w:val="18"/>
                                <w:szCs w:val="18"/>
                              </w:rPr>
                              <w:t>http://www.ifc.org/wps/wcm/connect/938f1a0048855805beacfe6a6515bb18/IFC_StakeholderEngagement.pdf?MOD=AJPERES</w:t>
                            </w:r>
                          </w:hyperlink>
                        </w:p>
                      </w:sdtContent>
                    </w:sdt>
                  </w:txbxContent>
                </v:textbox>
                <w10:wrap type="through"/>
              </v:shape>
            </w:pict>
          </mc:Fallback>
        </mc:AlternateContent>
      </w:r>
      <w:r w:rsidR="00863085" w:rsidRPr="00863085">
        <w:rPr>
          <w:noProof/>
        </w:rPr>
        <w:drawing>
          <wp:inline distT="0" distB="0" distL="0" distR="0" wp14:anchorId="543C9616" wp14:editId="3356B751">
            <wp:extent cx="4563373" cy="227360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9877" cy="2276846"/>
                    </a:xfrm>
                    <a:prstGeom prst="rect">
                      <a:avLst/>
                    </a:prstGeom>
                    <a:noFill/>
                    <a:ln>
                      <a:noFill/>
                    </a:ln>
                  </pic:spPr>
                </pic:pic>
              </a:graphicData>
            </a:graphic>
          </wp:inline>
        </w:drawing>
      </w:r>
    </w:p>
    <w:p w:rsidR="00863085" w:rsidRDefault="002410B4">
      <w:r w:rsidRPr="00863085">
        <w:rPr>
          <w:noProof/>
        </w:rPr>
        <w:drawing>
          <wp:anchor distT="0" distB="0" distL="114300" distR="114300" simplePos="0" relativeHeight="251660288" behindDoc="0" locked="0" layoutInCell="1" allowOverlap="1" wp14:anchorId="079B43FD" wp14:editId="6A8C0744">
            <wp:simplePos x="0" y="0"/>
            <wp:positionH relativeFrom="column">
              <wp:posOffset>628650</wp:posOffset>
            </wp:positionH>
            <wp:positionV relativeFrom="page">
              <wp:posOffset>3821430</wp:posOffset>
            </wp:positionV>
            <wp:extent cx="4899660" cy="6037580"/>
            <wp:effectExtent l="0" t="0" r="0" b="1270"/>
            <wp:wrapThrough wrapText="bothSides">
              <wp:wrapPolygon edited="0">
                <wp:start x="0" y="0"/>
                <wp:lineTo x="0" y="21536"/>
                <wp:lineTo x="21499" y="21536"/>
                <wp:lineTo x="2149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9660" cy="603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085" w:rsidRPr="00863085">
        <w:rPr>
          <w:sz w:val="18"/>
          <w:szCs w:val="18"/>
        </w:rPr>
        <w:t xml:space="preserve">   </w:t>
      </w:r>
    </w:p>
    <w:p w:rsidR="002410B4" w:rsidRDefault="002410B4"/>
    <w:p w:rsidR="002410B4" w:rsidRDefault="002410B4">
      <w:r>
        <w:br w:type="page"/>
      </w:r>
    </w:p>
    <w:p w:rsidR="002410B4" w:rsidRDefault="002410B4" w:rsidP="002410B4"/>
    <w:p w:rsidR="002410B4" w:rsidRPr="002410B4" w:rsidRDefault="002410B4" w:rsidP="002410B4">
      <w:pPr>
        <w:rPr>
          <w:b/>
          <w:u w:val="single"/>
        </w:rPr>
      </w:pPr>
      <w:r w:rsidRPr="002410B4">
        <w:rPr>
          <w:b/>
          <w:u w:val="single"/>
        </w:rPr>
        <w:t xml:space="preserve">Mapping Stakeholders based </w:t>
      </w:r>
      <w:r w:rsidR="00731AFC">
        <w:rPr>
          <w:b/>
          <w:u w:val="single"/>
        </w:rPr>
        <w:t>on Expertise, Willingness, and</w:t>
      </w:r>
      <w:r>
        <w:rPr>
          <w:b/>
          <w:u w:val="single"/>
        </w:rPr>
        <w:t xml:space="preserve"> Need to </w:t>
      </w:r>
      <w:r w:rsidRPr="002410B4">
        <w:rPr>
          <w:b/>
          <w:u w:val="single"/>
        </w:rPr>
        <w:t>Engage:</w:t>
      </w:r>
    </w:p>
    <w:p w:rsidR="00731AFC" w:rsidRDefault="00731AFC" w:rsidP="00731AFC">
      <w:pPr>
        <w:pStyle w:val="Default"/>
        <w:rPr>
          <w:sz w:val="20"/>
          <w:szCs w:val="20"/>
        </w:rPr>
      </w:pPr>
      <w:r>
        <w:rPr>
          <w:sz w:val="20"/>
          <w:szCs w:val="20"/>
        </w:rPr>
        <w:t>BSR has developed a list of criteria to help organizations analyze stakeholders in order to guide thinking about the level with which different stakeholder groups need to / want to / should be engaged</w:t>
      </w:r>
      <w:r>
        <w:rPr>
          <w:sz w:val="20"/>
          <w:szCs w:val="20"/>
        </w:rPr>
        <w:t xml:space="preserve"> at different stages of an effort</w:t>
      </w:r>
      <w:r>
        <w:rPr>
          <w:sz w:val="20"/>
          <w:szCs w:val="20"/>
        </w:rPr>
        <w:t xml:space="preserve">: </w:t>
      </w:r>
    </w:p>
    <w:p w:rsidR="00731AFC" w:rsidRDefault="00731AFC" w:rsidP="00731AFC">
      <w:pPr>
        <w:pStyle w:val="Default"/>
        <w:spacing w:after="83"/>
        <w:rPr>
          <w:rFonts w:ascii="Times New Roman" w:hAnsi="Times New Roman" w:cs="Times New Roman"/>
          <w:sz w:val="20"/>
          <w:szCs w:val="20"/>
        </w:rPr>
      </w:pPr>
    </w:p>
    <w:p w:rsidR="00731AFC" w:rsidRDefault="00731AFC" w:rsidP="00731AFC">
      <w:pPr>
        <w:pStyle w:val="Default"/>
        <w:numPr>
          <w:ilvl w:val="0"/>
          <w:numId w:val="2"/>
        </w:numPr>
        <w:spacing w:after="83"/>
        <w:rPr>
          <w:sz w:val="20"/>
          <w:szCs w:val="20"/>
        </w:rPr>
      </w:pPr>
      <w:r>
        <w:rPr>
          <w:b/>
          <w:bCs/>
          <w:sz w:val="20"/>
          <w:szCs w:val="20"/>
        </w:rPr>
        <w:t xml:space="preserve">Contribution: </w:t>
      </w:r>
      <w:r>
        <w:rPr>
          <w:sz w:val="20"/>
          <w:szCs w:val="20"/>
        </w:rPr>
        <w:t>The amount of information, counsel, or expertise that could be helpful to the project</w:t>
      </w:r>
      <w:r>
        <w:rPr>
          <w:sz w:val="20"/>
          <w:szCs w:val="20"/>
        </w:rPr>
        <w:t>.</w:t>
      </w:r>
    </w:p>
    <w:p w:rsidR="00731AFC" w:rsidRDefault="00731AFC" w:rsidP="00731AFC">
      <w:pPr>
        <w:pStyle w:val="Default"/>
        <w:numPr>
          <w:ilvl w:val="0"/>
          <w:numId w:val="2"/>
        </w:numPr>
        <w:spacing w:after="83"/>
        <w:rPr>
          <w:sz w:val="20"/>
          <w:szCs w:val="20"/>
        </w:rPr>
      </w:pPr>
      <w:r>
        <w:rPr>
          <w:b/>
          <w:bCs/>
          <w:sz w:val="20"/>
          <w:szCs w:val="20"/>
        </w:rPr>
        <w:t xml:space="preserve">Legitimacy / Interest: </w:t>
      </w:r>
      <w:r>
        <w:rPr>
          <w:sz w:val="20"/>
          <w:szCs w:val="20"/>
        </w:rPr>
        <w:t>How legitimate is the stakeholder’s claim for engagement? How much are they or issues they care deeply about affected by the effort?  How critical is it for them that the effort is done right?</w:t>
      </w:r>
    </w:p>
    <w:p w:rsidR="00731AFC" w:rsidRDefault="00731AFC" w:rsidP="00731AFC">
      <w:pPr>
        <w:pStyle w:val="Default"/>
        <w:numPr>
          <w:ilvl w:val="0"/>
          <w:numId w:val="2"/>
        </w:numPr>
        <w:spacing w:after="83"/>
        <w:rPr>
          <w:sz w:val="20"/>
          <w:szCs w:val="20"/>
        </w:rPr>
      </w:pPr>
      <w:r>
        <w:rPr>
          <w:b/>
          <w:bCs/>
          <w:sz w:val="20"/>
          <w:szCs w:val="20"/>
        </w:rPr>
        <w:t xml:space="preserve">Willingness to engage: </w:t>
      </w:r>
      <w:r>
        <w:rPr>
          <w:sz w:val="20"/>
          <w:szCs w:val="20"/>
        </w:rPr>
        <w:t xml:space="preserve">How willing is the stakeholder to engage? </w:t>
      </w:r>
    </w:p>
    <w:p w:rsidR="00731AFC" w:rsidRDefault="00731AFC" w:rsidP="00731AFC">
      <w:pPr>
        <w:pStyle w:val="Default"/>
        <w:numPr>
          <w:ilvl w:val="0"/>
          <w:numId w:val="2"/>
        </w:numPr>
        <w:spacing w:after="83"/>
        <w:rPr>
          <w:sz w:val="20"/>
          <w:szCs w:val="20"/>
        </w:rPr>
      </w:pPr>
      <w:r>
        <w:rPr>
          <w:b/>
          <w:bCs/>
          <w:sz w:val="20"/>
          <w:szCs w:val="20"/>
        </w:rPr>
        <w:t xml:space="preserve">Influence: </w:t>
      </w:r>
      <w:r>
        <w:rPr>
          <w:sz w:val="20"/>
          <w:szCs w:val="20"/>
        </w:rPr>
        <w:t>How much influence does the stakeholder have? (</w:t>
      </w:r>
      <w:proofErr w:type="gramStart"/>
      <w:r>
        <w:rPr>
          <w:sz w:val="20"/>
          <w:szCs w:val="20"/>
        </w:rPr>
        <w:t>what</w:t>
      </w:r>
      <w:proofErr w:type="gramEnd"/>
      <w:r>
        <w:rPr>
          <w:sz w:val="20"/>
          <w:szCs w:val="20"/>
        </w:rPr>
        <w:t xml:space="preserve"> type? on whom?) </w:t>
      </w:r>
    </w:p>
    <w:p w:rsidR="00731AFC" w:rsidRDefault="00731AFC" w:rsidP="00731AFC">
      <w:pPr>
        <w:pStyle w:val="Default"/>
        <w:numPr>
          <w:ilvl w:val="0"/>
          <w:numId w:val="2"/>
        </w:numPr>
        <w:rPr>
          <w:sz w:val="20"/>
          <w:szCs w:val="20"/>
        </w:rPr>
      </w:pPr>
      <w:r>
        <w:rPr>
          <w:b/>
          <w:bCs/>
          <w:sz w:val="20"/>
          <w:szCs w:val="20"/>
        </w:rPr>
        <w:t xml:space="preserve">Necessity/Criticality of involvement: </w:t>
      </w:r>
      <w:r>
        <w:rPr>
          <w:sz w:val="20"/>
          <w:szCs w:val="20"/>
        </w:rPr>
        <w:t xml:space="preserve">Is this someone who could significantly advance the project and/ or, if not included, derail or delegitimize the process and effort? </w:t>
      </w:r>
    </w:p>
    <w:p w:rsidR="00731AFC" w:rsidRDefault="00731AFC" w:rsidP="00731AFC">
      <w:pPr>
        <w:pStyle w:val="Default"/>
        <w:rPr>
          <w:sz w:val="20"/>
          <w:szCs w:val="20"/>
        </w:rPr>
      </w:pPr>
    </w:p>
    <w:p w:rsidR="002410B4" w:rsidRPr="00A8429B" w:rsidRDefault="00A8429B" w:rsidP="002410B4">
      <w:pPr>
        <w:rPr>
          <w:i/>
          <w:color w:val="2F5496" w:themeColor="accent5" w:themeShade="BF"/>
        </w:rPr>
      </w:pPr>
      <w:r>
        <w:rPr>
          <w:i/>
          <w:color w:val="2F5496" w:themeColor="accent5" w:themeShade="BF"/>
          <w:sz w:val="20"/>
          <w:szCs w:val="20"/>
        </w:rPr>
        <w:t xml:space="preserve">Questions to Consider:  By the fact that you are a part of the workgroup, your constituency is deemed very important to involve in this effort.  That being said, groups each bring different levels of expertise, interest, willingness, and need for engagement to the table.  </w:t>
      </w:r>
      <w:r w:rsidR="002D74D3" w:rsidRPr="00A8429B">
        <w:rPr>
          <w:i/>
          <w:color w:val="2F5496" w:themeColor="accent5" w:themeShade="BF"/>
          <w:sz w:val="20"/>
          <w:szCs w:val="20"/>
        </w:rPr>
        <w:t>Populate the</w:t>
      </w:r>
      <w:r w:rsidR="002D74D3" w:rsidRPr="00A8429B">
        <w:rPr>
          <w:i/>
          <w:color w:val="2F5496" w:themeColor="accent5" w:themeShade="BF"/>
          <w:sz w:val="20"/>
          <w:szCs w:val="20"/>
        </w:rPr>
        <w:t xml:space="preserve"> chart</w:t>
      </w:r>
      <w:r w:rsidR="002D74D3" w:rsidRPr="00A8429B">
        <w:rPr>
          <w:i/>
          <w:color w:val="2F5496" w:themeColor="accent5" w:themeShade="BF"/>
          <w:sz w:val="20"/>
          <w:szCs w:val="20"/>
        </w:rPr>
        <w:t xml:space="preserve"> </w:t>
      </w:r>
      <w:r>
        <w:rPr>
          <w:i/>
          <w:color w:val="2F5496" w:themeColor="accent5" w:themeShade="BF"/>
          <w:sz w:val="20"/>
          <w:szCs w:val="20"/>
        </w:rPr>
        <w:t xml:space="preserve">below </w:t>
      </w:r>
      <w:r w:rsidR="002D74D3" w:rsidRPr="00A8429B">
        <w:rPr>
          <w:i/>
          <w:color w:val="2F5496" w:themeColor="accent5" w:themeShade="BF"/>
          <w:sz w:val="20"/>
          <w:szCs w:val="20"/>
        </w:rPr>
        <w:t xml:space="preserve">with short descriptions related to </w:t>
      </w:r>
      <w:proofErr w:type="spellStart"/>
      <w:r w:rsidR="002D74D3" w:rsidRPr="00A8429B">
        <w:rPr>
          <w:i/>
          <w:color w:val="2F5496" w:themeColor="accent5" w:themeShade="BF"/>
          <w:sz w:val="20"/>
          <w:szCs w:val="20"/>
        </w:rPr>
        <w:t>your</w:t>
      </w:r>
      <w:proofErr w:type="spellEnd"/>
      <w:r w:rsidR="002D74D3" w:rsidRPr="00A8429B">
        <w:rPr>
          <w:i/>
          <w:color w:val="2F5496" w:themeColor="accent5" w:themeShade="BF"/>
          <w:sz w:val="20"/>
          <w:szCs w:val="20"/>
        </w:rPr>
        <w:t xml:space="preserve"> constituency</w:t>
      </w:r>
      <w:r w:rsidR="002D74D3" w:rsidRPr="00A8429B">
        <w:rPr>
          <w:i/>
          <w:color w:val="2F5496" w:themeColor="accent5" w:themeShade="BF"/>
          <w:sz w:val="20"/>
          <w:szCs w:val="20"/>
        </w:rPr>
        <w:t>. Assign values</w:t>
      </w:r>
      <w:r w:rsidR="002D74D3" w:rsidRPr="00A8429B">
        <w:rPr>
          <w:i/>
          <w:color w:val="2F5496" w:themeColor="accent5" w:themeShade="BF"/>
          <w:sz w:val="20"/>
          <w:szCs w:val="20"/>
        </w:rPr>
        <w:t xml:space="preserve"> (low, medium, or high) </w:t>
      </w:r>
      <w:r>
        <w:rPr>
          <w:i/>
          <w:color w:val="2F5496" w:themeColor="accent5" w:themeShade="BF"/>
          <w:sz w:val="20"/>
          <w:szCs w:val="20"/>
        </w:rPr>
        <w:t xml:space="preserve">for each criteria, as it relates to your </w:t>
      </w:r>
      <w:r w:rsidR="002D74D3" w:rsidRPr="00A8429B">
        <w:rPr>
          <w:i/>
          <w:color w:val="2F5496" w:themeColor="accent5" w:themeShade="BF"/>
          <w:sz w:val="20"/>
          <w:szCs w:val="20"/>
        </w:rPr>
        <w:t>stakeholder group</w:t>
      </w:r>
      <w:r w:rsidR="00731AFC">
        <w:rPr>
          <w:i/>
          <w:color w:val="2F5496" w:themeColor="accent5" w:themeShade="BF"/>
          <w:sz w:val="20"/>
          <w:szCs w:val="20"/>
        </w:rPr>
        <w:t xml:space="preserve"> in the year ahead</w:t>
      </w:r>
      <w:r w:rsidR="002D74D3" w:rsidRPr="00A8429B">
        <w:rPr>
          <w:i/>
          <w:color w:val="2F5496" w:themeColor="accent5" w:themeShade="BF"/>
          <w:sz w:val="20"/>
          <w:szCs w:val="20"/>
        </w:rPr>
        <w:t>.</w:t>
      </w:r>
    </w:p>
    <w:tbl>
      <w:tblPr>
        <w:tblStyle w:val="TableGrid"/>
        <w:tblW w:w="9810" w:type="dxa"/>
        <w:tblInd w:w="-5" w:type="dxa"/>
        <w:tblLayout w:type="fixed"/>
        <w:tblLook w:val="04A0" w:firstRow="1" w:lastRow="0" w:firstColumn="1" w:lastColumn="0" w:noHBand="0" w:noVBand="1"/>
      </w:tblPr>
      <w:tblGrid>
        <w:gridCol w:w="1440"/>
        <w:gridCol w:w="1710"/>
        <w:gridCol w:w="1620"/>
        <w:gridCol w:w="1800"/>
        <w:gridCol w:w="1620"/>
        <w:gridCol w:w="1620"/>
      </w:tblGrid>
      <w:tr w:rsidR="002410B4" w:rsidRPr="00967244" w:rsidTr="004031EA">
        <w:tc>
          <w:tcPr>
            <w:tcW w:w="1440" w:type="dxa"/>
          </w:tcPr>
          <w:p w:rsidR="002410B4" w:rsidRPr="00967244" w:rsidRDefault="002410B4" w:rsidP="00967244">
            <w:pPr>
              <w:jc w:val="center"/>
              <w:rPr>
                <w:b/>
              </w:rPr>
            </w:pPr>
          </w:p>
        </w:tc>
        <w:tc>
          <w:tcPr>
            <w:tcW w:w="3330" w:type="dxa"/>
            <w:gridSpan w:val="2"/>
          </w:tcPr>
          <w:p w:rsidR="002410B4" w:rsidRPr="00967244" w:rsidRDefault="002410B4" w:rsidP="00967244">
            <w:pPr>
              <w:jc w:val="center"/>
              <w:rPr>
                <w:b/>
              </w:rPr>
            </w:pPr>
            <w:r w:rsidRPr="00967244">
              <w:rPr>
                <w:b/>
              </w:rPr>
              <w:t>Expertise</w:t>
            </w:r>
          </w:p>
        </w:tc>
        <w:tc>
          <w:tcPr>
            <w:tcW w:w="1800" w:type="dxa"/>
          </w:tcPr>
          <w:p w:rsidR="002410B4" w:rsidRPr="00967244" w:rsidRDefault="002410B4" w:rsidP="00967244">
            <w:pPr>
              <w:jc w:val="center"/>
              <w:rPr>
                <w:b/>
              </w:rPr>
            </w:pPr>
            <w:r>
              <w:rPr>
                <w:b/>
              </w:rPr>
              <w:t>Willingness</w:t>
            </w:r>
          </w:p>
        </w:tc>
        <w:tc>
          <w:tcPr>
            <w:tcW w:w="3240" w:type="dxa"/>
            <w:gridSpan w:val="2"/>
          </w:tcPr>
          <w:p w:rsidR="002410B4" w:rsidRPr="00967244" w:rsidRDefault="002410B4" w:rsidP="002410B4">
            <w:pPr>
              <w:jc w:val="center"/>
              <w:rPr>
                <w:b/>
              </w:rPr>
            </w:pPr>
            <w:r>
              <w:rPr>
                <w:b/>
              </w:rPr>
              <w:t>Value</w:t>
            </w:r>
          </w:p>
        </w:tc>
      </w:tr>
      <w:tr w:rsidR="002410B4" w:rsidRPr="00967244" w:rsidTr="004031EA">
        <w:tc>
          <w:tcPr>
            <w:tcW w:w="1440" w:type="dxa"/>
          </w:tcPr>
          <w:p w:rsidR="002410B4" w:rsidRPr="00967244" w:rsidRDefault="002410B4" w:rsidP="00A8429B">
            <w:pPr>
              <w:jc w:val="center"/>
              <w:rPr>
                <w:b/>
              </w:rPr>
            </w:pPr>
            <w:r w:rsidRPr="00967244">
              <w:rPr>
                <w:b/>
              </w:rPr>
              <w:t>Stakeholder Group</w:t>
            </w:r>
          </w:p>
        </w:tc>
        <w:tc>
          <w:tcPr>
            <w:tcW w:w="1710" w:type="dxa"/>
          </w:tcPr>
          <w:p w:rsidR="002410B4" w:rsidRPr="00967244" w:rsidRDefault="00A8429B" w:rsidP="00A8429B">
            <w:pPr>
              <w:jc w:val="center"/>
              <w:rPr>
                <w:b/>
              </w:rPr>
            </w:pPr>
            <w:r>
              <w:rPr>
                <w:b/>
              </w:rPr>
              <w:t>Contribution</w:t>
            </w:r>
            <w:r w:rsidR="004031EA">
              <w:rPr>
                <w:b/>
              </w:rPr>
              <w:t>s</w:t>
            </w:r>
          </w:p>
        </w:tc>
        <w:tc>
          <w:tcPr>
            <w:tcW w:w="1620" w:type="dxa"/>
          </w:tcPr>
          <w:p w:rsidR="002410B4" w:rsidRPr="00967244" w:rsidRDefault="001A3C3B" w:rsidP="00A8429B">
            <w:pPr>
              <w:jc w:val="center"/>
              <w:rPr>
                <w:b/>
              </w:rPr>
            </w:pPr>
            <w:r>
              <w:rPr>
                <w:b/>
              </w:rPr>
              <w:t>Legitimacy</w:t>
            </w:r>
            <w:r w:rsidR="00A8429B">
              <w:rPr>
                <w:b/>
              </w:rPr>
              <w:t xml:space="preserve"> / Interest</w:t>
            </w:r>
          </w:p>
        </w:tc>
        <w:tc>
          <w:tcPr>
            <w:tcW w:w="1800" w:type="dxa"/>
          </w:tcPr>
          <w:p w:rsidR="002410B4" w:rsidRPr="00967244" w:rsidRDefault="002410B4" w:rsidP="00A8429B">
            <w:pPr>
              <w:jc w:val="center"/>
              <w:rPr>
                <w:b/>
              </w:rPr>
            </w:pPr>
            <w:r w:rsidRPr="00967244">
              <w:rPr>
                <w:b/>
              </w:rPr>
              <w:t>Willingness</w:t>
            </w:r>
            <w:r>
              <w:rPr>
                <w:b/>
              </w:rPr>
              <w:t xml:space="preserve"> </w:t>
            </w:r>
            <w:r w:rsidR="002D74D3">
              <w:rPr>
                <w:b/>
              </w:rPr>
              <w:t>to Engage</w:t>
            </w:r>
          </w:p>
        </w:tc>
        <w:tc>
          <w:tcPr>
            <w:tcW w:w="1620" w:type="dxa"/>
          </w:tcPr>
          <w:p w:rsidR="002410B4" w:rsidRPr="00967244" w:rsidRDefault="002410B4" w:rsidP="00A8429B">
            <w:pPr>
              <w:jc w:val="center"/>
              <w:rPr>
                <w:b/>
              </w:rPr>
            </w:pPr>
            <w:r w:rsidRPr="00967244">
              <w:rPr>
                <w:b/>
              </w:rPr>
              <w:t>Influence</w:t>
            </w:r>
          </w:p>
        </w:tc>
        <w:tc>
          <w:tcPr>
            <w:tcW w:w="1620" w:type="dxa"/>
          </w:tcPr>
          <w:p w:rsidR="002410B4" w:rsidRPr="00967244" w:rsidRDefault="00A8429B" w:rsidP="00A8429B">
            <w:pPr>
              <w:jc w:val="center"/>
              <w:rPr>
                <w:b/>
              </w:rPr>
            </w:pPr>
            <w:r>
              <w:rPr>
                <w:b/>
              </w:rPr>
              <w:t>Criticality of Involvement</w:t>
            </w:r>
          </w:p>
        </w:tc>
      </w:tr>
      <w:tr w:rsidR="002410B4" w:rsidTr="004031EA">
        <w:tc>
          <w:tcPr>
            <w:tcW w:w="1440" w:type="dxa"/>
          </w:tcPr>
          <w:p w:rsidR="002410B4" w:rsidRDefault="002410B4"/>
          <w:p w:rsidR="00A8429B" w:rsidRDefault="00A8429B"/>
          <w:p w:rsidR="00A8429B" w:rsidRDefault="00A8429B"/>
          <w:p w:rsidR="00A8429B" w:rsidRDefault="00A8429B"/>
        </w:tc>
        <w:tc>
          <w:tcPr>
            <w:tcW w:w="1710" w:type="dxa"/>
          </w:tcPr>
          <w:p w:rsidR="002410B4" w:rsidRDefault="002410B4"/>
        </w:tc>
        <w:tc>
          <w:tcPr>
            <w:tcW w:w="1620" w:type="dxa"/>
          </w:tcPr>
          <w:p w:rsidR="002410B4" w:rsidRDefault="002410B4"/>
        </w:tc>
        <w:tc>
          <w:tcPr>
            <w:tcW w:w="1800" w:type="dxa"/>
          </w:tcPr>
          <w:p w:rsidR="002410B4" w:rsidRDefault="002410B4"/>
        </w:tc>
        <w:tc>
          <w:tcPr>
            <w:tcW w:w="1620" w:type="dxa"/>
          </w:tcPr>
          <w:p w:rsidR="002410B4" w:rsidRDefault="002410B4"/>
        </w:tc>
        <w:tc>
          <w:tcPr>
            <w:tcW w:w="1620" w:type="dxa"/>
          </w:tcPr>
          <w:p w:rsidR="002410B4" w:rsidRDefault="002410B4"/>
        </w:tc>
      </w:tr>
      <w:tr w:rsidR="002410B4" w:rsidTr="004031EA">
        <w:tc>
          <w:tcPr>
            <w:tcW w:w="1440" w:type="dxa"/>
          </w:tcPr>
          <w:p w:rsidR="002410B4" w:rsidRDefault="002410B4"/>
          <w:p w:rsidR="00A8429B" w:rsidRDefault="00A8429B"/>
          <w:p w:rsidR="00A8429B" w:rsidRDefault="00A8429B"/>
          <w:p w:rsidR="00A8429B" w:rsidRDefault="00A8429B"/>
        </w:tc>
        <w:tc>
          <w:tcPr>
            <w:tcW w:w="1710" w:type="dxa"/>
          </w:tcPr>
          <w:p w:rsidR="002410B4" w:rsidRDefault="002410B4"/>
        </w:tc>
        <w:tc>
          <w:tcPr>
            <w:tcW w:w="1620" w:type="dxa"/>
          </w:tcPr>
          <w:p w:rsidR="002410B4" w:rsidRDefault="002410B4"/>
        </w:tc>
        <w:tc>
          <w:tcPr>
            <w:tcW w:w="1800" w:type="dxa"/>
          </w:tcPr>
          <w:p w:rsidR="002410B4" w:rsidRDefault="002410B4"/>
        </w:tc>
        <w:tc>
          <w:tcPr>
            <w:tcW w:w="1620" w:type="dxa"/>
          </w:tcPr>
          <w:p w:rsidR="002410B4" w:rsidRDefault="002410B4"/>
        </w:tc>
        <w:tc>
          <w:tcPr>
            <w:tcW w:w="1620" w:type="dxa"/>
          </w:tcPr>
          <w:p w:rsidR="002410B4" w:rsidRDefault="002410B4"/>
        </w:tc>
      </w:tr>
    </w:tbl>
    <w:p w:rsidR="00F3418A" w:rsidRPr="004031EA" w:rsidRDefault="004031EA">
      <w:pPr>
        <w:rPr>
          <w:i/>
          <w:sz w:val="18"/>
          <w:szCs w:val="18"/>
        </w:rPr>
      </w:pPr>
      <w:r w:rsidRPr="004031EA">
        <w:rPr>
          <w:i/>
          <w:sz w:val="18"/>
          <w:szCs w:val="18"/>
        </w:rPr>
        <w:t xml:space="preserve">Reference: BSR.  Back to Basics: How to Make Stakeholder Engagement Meaningful for Your Company. January 2012.  </w:t>
      </w:r>
      <w:hyperlink r:id="rId12" w:history="1">
        <w:r w:rsidRPr="004031EA">
          <w:rPr>
            <w:rStyle w:val="Hyperlink"/>
            <w:i/>
            <w:sz w:val="18"/>
            <w:szCs w:val="18"/>
          </w:rPr>
          <w:t>http://www.bsr.org/reports/BSR_Five-Step_Guide_to_Stakeholder_Engagement.pdf</w:t>
        </w:r>
      </w:hyperlink>
      <w:r w:rsidRPr="004031EA">
        <w:rPr>
          <w:i/>
          <w:sz w:val="18"/>
          <w:szCs w:val="18"/>
        </w:rPr>
        <w:t xml:space="preserve"> .</w:t>
      </w:r>
    </w:p>
    <w:p w:rsidR="001A3C3B" w:rsidRDefault="001A3C3B" w:rsidP="001A3C3B">
      <w:pPr>
        <w:pStyle w:val="Default"/>
        <w:rPr>
          <w:sz w:val="20"/>
          <w:szCs w:val="20"/>
        </w:rPr>
      </w:pPr>
    </w:p>
    <w:p w:rsidR="00863085" w:rsidRDefault="00967244">
      <w:r w:rsidRPr="00967244">
        <w:rPr>
          <w:noProof/>
        </w:rPr>
        <w:drawing>
          <wp:inline distT="0" distB="0" distL="0" distR="0">
            <wp:extent cx="4608275" cy="27241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2000" cy="2726352"/>
                    </a:xfrm>
                    <a:prstGeom prst="rect">
                      <a:avLst/>
                    </a:prstGeom>
                    <a:noFill/>
                    <a:ln>
                      <a:noFill/>
                    </a:ln>
                  </pic:spPr>
                </pic:pic>
              </a:graphicData>
            </a:graphic>
          </wp:inline>
        </w:drawing>
      </w:r>
    </w:p>
    <w:sectPr w:rsidR="00863085" w:rsidSect="00A05C37">
      <w:pgSz w:w="12240" w:h="15840"/>
      <w:pgMar w:top="900" w:right="990" w:bottom="108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208C3"/>
    <w:multiLevelType w:val="hybridMultilevel"/>
    <w:tmpl w:val="10AACA7E"/>
    <w:lvl w:ilvl="0" w:tplc="162A8D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C3F4253"/>
    <w:multiLevelType w:val="hybridMultilevel"/>
    <w:tmpl w:val="5BDC6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18A"/>
    <w:rsid w:val="00121353"/>
    <w:rsid w:val="001A3C3B"/>
    <w:rsid w:val="002410B4"/>
    <w:rsid w:val="002D74D3"/>
    <w:rsid w:val="004031EA"/>
    <w:rsid w:val="00661E28"/>
    <w:rsid w:val="00731AFC"/>
    <w:rsid w:val="008003AD"/>
    <w:rsid w:val="00863085"/>
    <w:rsid w:val="008B6FFD"/>
    <w:rsid w:val="009138E9"/>
    <w:rsid w:val="00967244"/>
    <w:rsid w:val="0098006B"/>
    <w:rsid w:val="00A05C37"/>
    <w:rsid w:val="00A8429B"/>
    <w:rsid w:val="00B65734"/>
    <w:rsid w:val="00B923D6"/>
    <w:rsid w:val="00BF5A7A"/>
    <w:rsid w:val="00D90CA0"/>
    <w:rsid w:val="00F3418A"/>
    <w:rsid w:val="00FB5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EA11CA-5DE7-4F85-AF8E-E1D1A0D5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3085"/>
    <w:rPr>
      <w:color w:val="0563C1" w:themeColor="hyperlink"/>
      <w:u w:val="single"/>
    </w:rPr>
  </w:style>
  <w:style w:type="paragraph" w:styleId="NormalWeb">
    <w:name w:val="Normal (Web)"/>
    <w:basedOn w:val="Normal"/>
    <w:uiPriority w:val="99"/>
    <w:unhideWhenUsed/>
    <w:rsid w:val="001213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A3C3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800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0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94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c.org/wps/wcm/connect/938f1a0048855805beacfe6a6515bb18/IFC_StakeholderEngagement.pdf?MOD=AJPERES"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www.bsr.org/reports/BSR_Five-Step_Guide_to_Stakeholder_Engagemen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ithgow-schmidt.dk/sherry-arnstein/ladder-of-citizen-participation.html" TargetMode="External"/><Relationship Id="rId11" Type="http://schemas.openxmlformats.org/officeDocument/2006/relationships/image" Target="media/image3.emf"/><Relationship Id="rId5" Type="http://schemas.openxmlformats.org/officeDocument/2006/relationships/hyperlink" Target="http://lithgow-schmidt.dk/sherry-arnstein/ladder-of-citizen-participation.html" TargetMode="Externa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ifc.org/wps/wcm/connect/938f1a0048855805beacfe6a6515bb18/IFC_StakeholderEngagement.pdf?MOD=AJPER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3</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Slemp</dc:creator>
  <cp:keywords/>
  <dc:description/>
  <cp:lastModifiedBy>Cathy Slemp</cp:lastModifiedBy>
  <cp:revision>3</cp:revision>
  <cp:lastPrinted>2015-10-23T03:29:00Z</cp:lastPrinted>
  <dcterms:created xsi:type="dcterms:W3CDTF">2015-10-22T22:11:00Z</dcterms:created>
  <dcterms:modified xsi:type="dcterms:W3CDTF">2015-10-23T04:08:00Z</dcterms:modified>
</cp:coreProperties>
</file>